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center"/>
        <w:rPr>
          <w:rFonts w:hint="eastAsia" w:ascii="宋体" w:hAnsi="宋体" w:eastAsia="宋体" w:cs="宋体"/>
          <w:color w:val="6B6B6B"/>
          <w:sz w:val="18"/>
          <w:szCs w:val="18"/>
        </w:rPr>
      </w:pPr>
      <w:r>
        <w:rPr>
          <w:b/>
          <w:color w:val="4B4B4B"/>
          <w:sz w:val="30"/>
          <w:szCs w:val="30"/>
          <w:bdr w:val="none" w:color="auto" w:sz="0" w:space="0"/>
          <w:shd w:val="clear" w:fill="FFFFFF"/>
        </w:rPr>
        <w:t>《普通高等学校高等职业教育（专科）专业目录》 2019年增补专业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根据《普通高等学校高等职业教育（专科）专业设置管理办法》，在相关学校和行业提交增补专业建议的基础上，教育部组织研究确定了2019年度增补专业共9个，现予公布，自2020年起执行。</w:t>
      </w:r>
    </w:p>
    <w:tbl>
      <w:tblPr>
        <w:tblW w:w="5000" w:type="pct"/>
        <w:jc w:val="center"/>
        <w:tblBorders>
          <w:top w:val="single" w:color="auto" w:sz="8" w:space="0"/>
          <w:left w:val="outset" w:color="auto" w:sz="6" w:space="0"/>
          <w:bottom w:val="single" w:color="auto" w:sz="8" w:space="0"/>
          <w:right w:val="outset" w:color="auto" w:sz="6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35"/>
        <w:gridCol w:w="2278"/>
        <w:gridCol w:w="2282"/>
        <w:gridCol w:w="1005"/>
        <w:gridCol w:w="2220"/>
      </w:tblGrid>
      <w:tr>
        <w:tblPrEx>
          <w:tblBorders>
            <w:top w:val="single" w:color="auto" w:sz="8" w:space="0"/>
            <w:left w:val="outset" w:color="auto" w:sz="6" w:space="0"/>
            <w:bottom w:val="single" w:color="auto" w:sz="8" w:space="0"/>
            <w:right w:val="outset" w:color="auto" w:sz="6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377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ascii="仿宋_GB2312" w:hAnsi="微软雅黑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专业大类</w:t>
            </w:r>
          </w:p>
        </w:tc>
        <w:tc>
          <w:tcPr>
            <w:tcW w:w="1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adjustRightInd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专业类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1"/>
                <w:bdr w:val="none" w:color="auto" w:sz="0" w:space="0"/>
                <w:lang w:val="en-US" w:eastAsia="zh-CN" w:bidi="ar"/>
              </w:rPr>
              <w:t>专业代码</w:t>
            </w:r>
          </w:p>
        </w:tc>
        <w:tc>
          <w:tcPr>
            <w:tcW w:w="1318" w:type="pc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1"/>
                <w:bdr w:val="none" w:color="auto" w:sz="0" w:space="0"/>
                <w:lang w:val="en-US" w:eastAsia="zh-CN" w:bidi="ar"/>
              </w:rPr>
              <w:t>专业名称</w:t>
            </w:r>
          </w:p>
        </w:tc>
      </w:tr>
      <w:tr>
        <w:tblPrEx>
          <w:tblBorders>
            <w:top w:val="single" w:color="auto" w:sz="8" w:space="0"/>
            <w:left w:val="outset" w:color="auto" w:sz="6" w:space="0"/>
            <w:bottom w:val="single" w:color="auto" w:sz="8" w:space="0"/>
            <w:right w:val="outset" w:color="auto" w:sz="6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38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53</w:t>
            </w:r>
            <w:r>
              <w:rPr>
                <w:rFonts w:hint="eastAsia" w:ascii="仿宋_GB2312" w:hAnsi="微软雅黑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能源动力与材料大类</w:t>
            </w:r>
          </w:p>
        </w:tc>
        <w:tc>
          <w:tcPr>
            <w:tcW w:w="1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38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5303</w:t>
            </w:r>
            <w:r>
              <w:rPr>
                <w:rFonts w:hint="eastAsia" w:ascii="仿宋_GB2312" w:hAnsi="微软雅黑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新能源发电工程类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530309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adjustRightInd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instrText xml:space="preserve"> HYPERLINK "http://www.moe.gov.cn/s78/A07/zcs_ztzl/2017_zt06/17zt06_bznr/bznr_ptgxgdzjml/ptgx_mlxjzydz/201910/W020191018570325987036.doc" \t "http://www.moe.gov.cn/s78/A07/zcs_ztzl/2017_zt06/17zt06_bznr/bznr_ptgxgdzjml/ptgx_mlxjzydz/201910/_blank" </w:instrText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微软雅黑" w:eastAsia="仿宋_GB2312" w:cs="仿宋_GB2312"/>
                <w:color w:val="0000FF"/>
                <w:sz w:val="20"/>
                <w:szCs w:val="20"/>
                <w:u w:val="none"/>
                <w:bdr w:val="none" w:color="auto" w:sz="0" w:space="0"/>
              </w:rPr>
              <w:t>氢能技术应用</w:t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outset" w:color="auto" w:sz="6" w:space="0"/>
            <w:bottom w:val="single" w:color="auto" w:sz="8" w:space="0"/>
            <w:right w:val="outset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38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60</w:t>
            </w:r>
            <w:r>
              <w:rPr>
                <w:rFonts w:hint="eastAsia" w:ascii="仿宋_GB2312" w:hAnsi="微软雅黑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交通运输大类</w:t>
            </w:r>
          </w:p>
        </w:tc>
        <w:tc>
          <w:tcPr>
            <w:tcW w:w="1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38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6001</w:t>
            </w:r>
            <w:r>
              <w:rPr>
                <w:rFonts w:hint="eastAsia" w:ascii="仿宋_GB2312" w:hAnsi="微软雅黑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铁道运输类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600114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adjustRightInd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instrText xml:space="preserve"> HYPERLINK "http://www.moe.gov.cn/s78/A07/zcs_ztzl/2017_zt06/17zt06_bznr/bznr_ptgxgdzjml/ptgx_mlxjzydz/201910/W020191018570325998445.docx" \t "http://www.moe.gov.cn/s78/A07/zcs_ztzl/2017_zt06/17zt06_bznr/bznr_ptgxgdzjml/ptgx_mlxjzydz/201910/_blank" </w:instrText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微软雅黑" w:eastAsia="仿宋_GB2312" w:cs="仿宋_GB2312"/>
                <w:color w:val="0000FF"/>
                <w:sz w:val="20"/>
                <w:szCs w:val="20"/>
                <w:u w:val="none"/>
                <w:bdr w:val="none" w:color="auto" w:sz="0" w:space="0"/>
              </w:rPr>
              <w:t>高铁综合维修技术</w:t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outset" w:color="auto" w:sz="6" w:space="0"/>
            <w:bottom w:val="single" w:color="auto" w:sz="8" w:space="0"/>
            <w:right w:val="outset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38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61</w:t>
            </w:r>
            <w:r>
              <w:rPr>
                <w:rFonts w:hint="eastAsia" w:ascii="仿宋_GB2312" w:hAnsi="微软雅黑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电子信息大类</w:t>
            </w:r>
          </w:p>
        </w:tc>
        <w:tc>
          <w:tcPr>
            <w:tcW w:w="1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38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6101</w:t>
            </w:r>
            <w:r>
              <w:rPr>
                <w:rFonts w:hint="eastAsia" w:ascii="仿宋_GB2312" w:hAnsi="微软雅黑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电子信息类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610120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adjustRightInd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instrText xml:space="preserve"> HYPERLINK "http://www.moe.gov.cn/s78/A07/zcs_ztzl/2017_zt06/17zt06_bznr/bznr_ptgxgdzjml/ptgx_mlxjzydz/201910/W020191018570326006688.doc" \t "http://www.moe.gov.cn/s78/A07/zcs_ztzl/2017_zt06/17zt06_bznr/bznr_ptgxgdzjml/ptgx_mlxjzydz/201910/_blank" </w:instrText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微软雅黑" w:eastAsia="仿宋_GB2312" w:cs="仿宋_GB2312"/>
                <w:color w:val="0000FF"/>
                <w:sz w:val="20"/>
                <w:szCs w:val="20"/>
                <w:u w:val="none"/>
                <w:bdr w:val="none" w:color="auto" w:sz="0" w:space="0"/>
              </w:rPr>
              <w:t>集成电路技术应用</w:t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outset" w:color="auto" w:sz="6" w:space="0"/>
            <w:bottom w:val="single" w:color="auto" w:sz="8" w:space="0"/>
            <w:right w:val="outset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38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61</w:t>
            </w:r>
            <w:r>
              <w:rPr>
                <w:rFonts w:hint="eastAsia" w:ascii="仿宋_GB2312" w:hAnsi="微软雅黑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电子信息大类</w:t>
            </w:r>
          </w:p>
        </w:tc>
        <w:tc>
          <w:tcPr>
            <w:tcW w:w="1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38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6102</w:t>
            </w:r>
            <w:r>
              <w:rPr>
                <w:rFonts w:hint="eastAsia" w:ascii="仿宋_GB2312" w:hAnsi="微软雅黑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计算机类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610217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adjustRightInd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instrText xml:space="preserve"> HYPERLINK "http://www.moe.gov.cn/s78/A07/zcs_ztzl/2017_zt06/17zt06_bznr/bznr_ptgxgdzjml/ptgx_mlxjzydz/201910/W020191018570326000104.doc" \t "http://www.moe.gov.cn/s78/A07/zcs_ztzl/2017_zt06/17zt06_bznr/bznr_ptgxgdzjml/ptgx_mlxjzydz/201910/_blank" </w:instrText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微软雅黑" w:eastAsia="仿宋_GB2312" w:cs="仿宋_GB2312"/>
                <w:color w:val="0000FF"/>
                <w:sz w:val="20"/>
                <w:szCs w:val="20"/>
                <w:u w:val="none"/>
                <w:bdr w:val="none" w:color="auto" w:sz="0" w:space="0"/>
              </w:rPr>
              <w:t>人工智能技术服务</w:t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outset" w:color="auto" w:sz="6" w:space="0"/>
            <w:bottom w:val="single" w:color="auto" w:sz="8" w:space="0"/>
            <w:right w:val="outset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38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63</w:t>
            </w:r>
            <w:r>
              <w:rPr>
                <w:rFonts w:hint="eastAsia" w:ascii="仿宋_GB2312" w:hAnsi="微软雅黑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财经商贸大类</w:t>
            </w:r>
          </w:p>
        </w:tc>
        <w:tc>
          <w:tcPr>
            <w:tcW w:w="1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38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6308</w:t>
            </w:r>
            <w:r>
              <w:rPr>
                <w:rFonts w:hint="eastAsia" w:ascii="仿宋_GB2312" w:hAnsi="微软雅黑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电子商务类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630805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adjustRightInd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instrText xml:space="preserve"> HYPERLINK "http://www.moe.gov.cn/s78/A07/zcs_ztzl/2017_zt06/17zt06_bznr/bznr_ptgxgdzjml/ptgx_mlxjzydz/201910/W020191018570326011309.doc" \t "http://www.moe.gov.cn/s78/A07/zcs_ztzl/2017_zt06/17zt06_bznr/bznr_ptgxgdzjml/ptgx_mlxjzydz/201910/_blank" </w:instrText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微软雅黑" w:eastAsia="仿宋_GB2312" w:cs="仿宋_GB2312"/>
                <w:color w:val="0000FF"/>
                <w:sz w:val="20"/>
                <w:szCs w:val="20"/>
                <w:u w:val="none"/>
                <w:bdr w:val="none" w:color="auto" w:sz="0" w:space="0"/>
              </w:rPr>
              <w:t>跨境电子商务</w:t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outset" w:color="auto" w:sz="6" w:space="0"/>
            <w:bottom w:val="single" w:color="auto" w:sz="8" w:space="0"/>
            <w:right w:val="outset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64</w:t>
            </w:r>
            <w:r>
              <w:rPr>
                <w:rFonts w:hint="eastAsia" w:ascii="仿宋_GB2312" w:hAnsi="微软雅黑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旅游大类</w:t>
            </w:r>
          </w:p>
        </w:tc>
        <w:tc>
          <w:tcPr>
            <w:tcW w:w="1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adjustRightInd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6401</w:t>
            </w:r>
            <w:r>
              <w:rPr>
                <w:rFonts w:hint="eastAsia" w:ascii="仿宋_GB2312" w:hAnsi="微软雅黑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旅游类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640107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adjustRightInd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instrText xml:space="preserve"> HYPERLINK "http://www.moe.gov.cn/s78/A07/zcs_ztzl/2017_zt06/17zt06_bznr/bznr_ptgxgdzjml/ptgx_mlxjzydz/201910/W020191018570326027406.doc" \t "http://www.moe.gov.cn/s78/A07/zcs_ztzl/2017_zt06/17zt06_bznr/bznr_ptgxgdzjml/ptgx_mlxjzydz/201910/_blank" </w:instrText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微软雅黑" w:eastAsia="仿宋_GB2312" w:cs="仿宋_GB2312"/>
                <w:color w:val="0000FF"/>
                <w:sz w:val="20"/>
                <w:szCs w:val="20"/>
                <w:u w:val="none"/>
                <w:bdr w:val="none" w:color="auto" w:sz="0" w:space="0"/>
              </w:rPr>
              <w:t>研学旅行管理与服务</w:t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outset" w:color="auto" w:sz="6" w:space="0"/>
            <w:bottom w:val="single" w:color="auto" w:sz="8" w:space="0"/>
            <w:right w:val="outset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46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64</w:t>
            </w:r>
            <w:r>
              <w:rPr>
                <w:rFonts w:hint="eastAsia" w:ascii="仿宋_GB2312" w:hAnsi="微软雅黑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旅游大类</w:t>
            </w:r>
          </w:p>
        </w:tc>
        <w:tc>
          <w:tcPr>
            <w:tcW w:w="1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46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6401</w:t>
            </w:r>
            <w:r>
              <w:rPr>
                <w:rFonts w:hint="eastAsia" w:ascii="仿宋_GB2312" w:hAnsi="微软雅黑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旅游类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640108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adjustRightInd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instrText xml:space="preserve"> HYPERLINK "http://www.moe.gov.cn/s78/A07/zcs_ztzl/2017_zt06/17zt06_bznr/bznr_ptgxgdzjml/ptgx_mlxjzydz/201910/W020191018570326034050.doc" \t "http://www.moe.gov.cn/s78/A07/zcs_ztzl/2017_zt06/17zt06_bznr/bznr_ptgxgdzjml/ptgx_mlxjzydz/201910/_blank" </w:instrText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微软雅黑" w:eastAsia="仿宋_GB2312" w:cs="仿宋_GB2312"/>
                <w:color w:val="0000FF"/>
                <w:sz w:val="20"/>
                <w:szCs w:val="20"/>
                <w:u w:val="none"/>
                <w:bdr w:val="none" w:color="auto" w:sz="0" w:space="0"/>
              </w:rPr>
              <w:t>葡萄酒营销与服务</w:t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outset" w:color="auto" w:sz="6" w:space="0"/>
            <w:bottom w:val="single" w:color="auto" w:sz="8" w:space="0"/>
            <w:right w:val="outset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46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67</w:t>
            </w:r>
            <w:r>
              <w:rPr>
                <w:rFonts w:hint="eastAsia" w:ascii="仿宋_GB2312" w:hAnsi="微软雅黑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教育与体育大类</w:t>
            </w:r>
          </w:p>
        </w:tc>
        <w:tc>
          <w:tcPr>
            <w:tcW w:w="1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46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6704</w:t>
            </w:r>
            <w:r>
              <w:rPr>
                <w:rFonts w:hint="eastAsia" w:ascii="仿宋_GB2312" w:hAnsi="微软雅黑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体育类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670412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adjustRightInd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instrText xml:space="preserve"> HYPERLINK "http://www.moe.gov.cn/s78/A07/zcs_ztzl/2017_zt06/17zt06_bznr/bznr_ptgxgdzjml/ptgx_mlxjzydz/201910/W020191018570326048218.docx" \t "http://www.moe.gov.cn/s78/A07/zcs_ztzl/2017_zt06/17zt06_bznr/bznr_ptgxgdzjml/ptgx_mlxjzydz/201910/_blank" </w:instrText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微软雅黑" w:eastAsia="仿宋_GB2312" w:cs="仿宋_GB2312"/>
                <w:color w:val="0000FF"/>
                <w:sz w:val="20"/>
                <w:szCs w:val="20"/>
                <w:u w:val="none"/>
                <w:bdr w:val="none" w:color="auto" w:sz="0" w:space="0"/>
              </w:rPr>
              <w:t>冰雪设施运维与管理</w:t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outset" w:color="auto" w:sz="6" w:space="0"/>
            <w:bottom w:val="single" w:color="auto" w:sz="8" w:space="0"/>
            <w:right w:val="outset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377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0"/>
                <w:szCs w:val="21"/>
                <w:bdr w:val="none" w:color="auto" w:sz="0" w:space="0"/>
                <w:lang w:val="en-US" w:eastAsia="zh-CN" w:bidi="ar"/>
              </w:rPr>
              <w:t>69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0"/>
                <w:szCs w:val="21"/>
                <w:bdr w:val="none" w:color="auto" w:sz="0" w:space="0"/>
                <w:lang w:val="en-US" w:eastAsia="zh-CN" w:bidi="ar"/>
              </w:rPr>
              <w:t>公共管理与服务大类</w:t>
            </w:r>
          </w:p>
        </w:tc>
        <w:tc>
          <w:tcPr>
            <w:tcW w:w="1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adjustRightInd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6903</w:t>
            </w:r>
            <w:r>
              <w:rPr>
                <w:rFonts w:hint="eastAsia" w:ascii="仿宋_GB2312" w:hAnsi="微软雅黑" w:eastAsia="仿宋_GB2312" w:cs="仿宋_GB2312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公共服务类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690307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nil"/>
            </w:tcBorders>
            <w:shd w:val="clear"/>
            <w:tcMar>
              <w:top w:w="85" w:type="dxa"/>
              <w:bottom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overflowPunct w:val="0"/>
              <w:adjustRightInd w:val="0"/>
              <w:spacing w:before="0" w:beforeAutospacing="1" w:after="0" w:afterAutospacing="1" w:line="600" w:lineRule="exact"/>
              <w:ind w:left="0" w:right="0"/>
              <w:jc w:val="center"/>
            </w:pP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instrText xml:space="preserve"> HYPERLINK "http://www.moe.gov.cn/s78/A07/zcs_ztzl/2017_zt06/17zt06_bznr/bznr_ptgxgdzjml/ptgx_mlxjzydz/201910/W020191018570326045773.doc" \t "http://www.moe.gov.cn/s78/A07/zcs_ztzl/2017_zt06/17zt06_bznr/bznr_ptgxgdzjml/ptgx_mlxjzydz/201910/_blank" </w:instrText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微软雅黑" w:eastAsia="仿宋_GB2312" w:cs="仿宋_GB2312"/>
                <w:color w:val="0000FF"/>
                <w:sz w:val="20"/>
                <w:szCs w:val="20"/>
                <w:u w:val="none"/>
                <w:bdr w:val="none" w:color="auto" w:sz="0" w:space="0"/>
              </w:rPr>
              <w:t>陵园服务与管理</w:t>
            </w:r>
            <w:r>
              <w:rPr>
                <w:rFonts w:hint="eastAsia" w:ascii="仿宋_GB2312" w:hAnsi="微软雅黑" w:eastAsia="仿宋_GB2312" w:cs="仿宋_GB2312"/>
                <w:color w:val="0000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32DF4"/>
    <w:rsid w:val="4A43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uiPriority w:val="0"/>
    <w:rPr>
      <w:color w:val="800080"/>
      <w:u w:val="none"/>
    </w:rPr>
  </w:style>
  <w:style w:type="character" w:styleId="7">
    <w:name w:val="Hyperlink"/>
    <w:basedOn w:val="5"/>
    <w:uiPriority w:val="0"/>
    <w:rPr>
      <w:color w:val="0000FF"/>
      <w:u w:val="none"/>
    </w:rPr>
  </w:style>
  <w:style w:type="character" w:customStyle="1" w:styleId="8">
    <w:name w:val="hover17"/>
    <w:basedOn w:val="5"/>
    <w:uiPriority w:val="0"/>
    <w:rPr>
      <w:color w:val="557EE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2019-12-26T05:18:00Z</dcterms:created>
  <dc:creator>Elder Tie</dc:creator>
  <cp:lastModifiedBy>Elder Tie</cp:lastModifiedBy>
  <dcterms:modified xsi:type="dcterms:W3CDTF">2019-12-26T05:18:45Z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